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BFB7C6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11BFB7CB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FB7C7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1BFB7C8" w14:textId="77777777" w:rsidR="00CD0414" w:rsidRPr="00300A91" w:rsidRDefault="007D4B1D" w:rsidP="008A35AD">
            <w:pPr>
              <w:spacing w:line="240" w:lineRule="auto"/>
              <w:rPr>
                <w:b/>
                <w:sz w:val="20"/>
                <w:szCs w:val="20"/>
              </w:rPr>
            </w:pPr>
            <w:r w:rsidRPr="00597A9E">
              <w:rPr>
                <w:rFonts w:ascii="Arial" w:hAnsi="Arial" w:cs="Arial"/>
                <w:b/>
                <w:sz w:val="20"/>
                <w:szCs w:val="20"/>
              </w:rPr>
              <w:t xml:space="preserve">Genetyka </w:t>
            </w:r>
            <w:r w:rsidR="008A35AD">
              <w:rPr>
                <w:rFonts w:ascii="Arial" w:hAnsi="Arial" w:cs="Arial"/>
                <w:b/>
                <w:sz w:val="20"/>
                <w:szCs w:val="20"/>
              </w:rPr>
              <w:t>ogólna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1BFB7C9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1BFB7CA" w14:textId="77777777" w:rsidR="00CD0414" w:rsidRPr="003A2588" w:rsidRDefault="007D4B1D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CD0414" w14:paraId="11BFB7CE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1BFB7CC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11BFB7CD" w14:textId="77777777" w:rsidR="00CD0414" w:rsidRPr="00582090" w:rsidRDefault="007D4B1D" w:rsidP="008A35AD">
            <w:pPr>
              <w:spacing w:line="240" w:lineRule="auto"/>
              <w:rPr>
                <w:bCs/>
                <w:sz w:val="16"/>
                <w:szCs w:val="16"/>
              </w:rPr>
            </w:pPr>
            <w:r w:rsidRPr="00597A9E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Genetics </w:t>
            </w:r>
          </w:p>
        </w:tc>
      </w:tr>
      <w:tr w:rsidR="00CD0414" w14:paraId="11BFB7D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CF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D0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11BFB7D4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BFB7D2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FB7D3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11BFB7D9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D5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BFB7D6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D7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BFB7D8" w14:textId="77777777" w:rsidR="00207BBF" w:rsidRPr="00207BBF" w:rsidRDefault="006C0C63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11BFB7E4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DA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BFB7DB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11BFB7DC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DD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DE" w14:textId="77777777" w:rsidR="006C766B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11BFB7DF" w14:textId="77777777" w:rsidR="00CD0414" w:rsidRPr="00CD0414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BFB7E0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11BFB7E1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1BFB7E2" w14:textId="77777777" w:rsidR="00CD0414" w:rsidRPr="00CD0414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C0C63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1BFB7E3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8D1922"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11BFB7EB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BFB7E5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1BFB7E6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FB7E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FB7E8" w14:textId="03D79D48" w:rsidR="00CD0414" w:rsidRPr="008C5679" w:rsidRDefault="00415FF2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53068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53068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FB7E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BFB7EA" w14:textId="77777777" w:rsidR="00CD0414" w:rsidRPr="006C766B" w:rsidRDefault="00C56B3F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C56B3F">
              <w:rPr>
                <w:b/>
                <w:sz w:val="16"/>
                <w:szCs w:val="16"/>
              </w:rPr>
              <w:t>OGR_BT-1S-4L-26</w:t>
            </w:r>
          </w:p>
        </w:tc>
      </w:tr>
      <w:tr w:rsidR="00ED11F9" w:rsidRPr="00CD0414" w14:paraId="11BFB7ED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FB7EC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11BFB7F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E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EF" w14:textId="77777777" w:rsidR="00ED11F9" w:rsidRPr="007D736E" w:rsidRDefault="00415FF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prof. dr hab. Monika Rakoczy-Trojanowska</w:t>
            </w:r>
          </w:p>
        </w:tc>
      </w:tr>
      <w:tr w:rsidR="00ED11F9" w14:paraId="11BFB7F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F1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F2" w14:textId="77777777" w:rsidR="00ED11F9" w:rsidRPr="00582090" w:rsidRDefault="007D4B1D" w:rsidP="002A595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prof. dr hab. Monika Rakoczy-Trojano</w:t>
            </w:r>
            <w:r w:rsidR="00577AD3">
              <w:rPr>
                <w:rFonts w:ascii="Arial" w:hAnsi="Arial" w:cs="Arial"/>
                <w:bCs/>
                <w:sz w:val="16"/>
                <w:szCs w:val="16"/>
              </w:rPr>
              <w:t>wska, dr hab. Wiesław Świderek,</w:t>
            </w:r>
            <w:r w:rsidR="002A5952">
              <w:rPr>
                <w:rFonts w:ascii="Arial" w:hAnsi="Arial" w:cs="Arial"/>
                <w:bCs/>
                <w:sz w:val="16"/>
                <w:szCs w:val="16"/>
              </w:rPr>
              <w:t xml:space="preserve"> pracownicy i doktoranci</w:t>
            </w:r>
          </w:p>
        </w:tc>
      </w:tr>
      <w:tr w:rsidR="00ED11F9" w14:paraId="11BFB7F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F4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F5" w14:textId="77777777" w:rsidR="007D4B1D" w:rsidRDefault="00577AD3" w:rsidP="007D4B1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 Biologii</w:t>
            </w:r>
            <w:r w:rsidR="007D4B1D">
              <w:rPr>
                <w:rFonts w:ascii="Arial" w:hAnsi="Arial" w:cs="Arial"/>
                <w:bCs/>
                <w:sz w:val="16"/>
                <w:szCs w:val="16"/>
              </w:rPr>
              <w:t>, Katedra Genetyki, Hodowli i Biotechnologii Roślin</w:t>
            </w:r>
          </w:p>
          <w:p w14:paraId="11BFB7F6" w14:textId="77777777" w:rsidR="00ED11F9" w:rsidRPr="00582090" w:rsidRDefault="00577AD3" w:rsidP="002A595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</w:t>
            </w:r>
            <w:r w:rsidR="007D4B1D">
              <w:rPr>
                <w:rFonts w:ascii="Arial" w:hAnsi="Arial" w:cs="Arial"/>
                <w:bCs/>
                <w:sz w:val="16"/>
                <w:szCs w:val="16"/>
              </w:rPr>
              <w:t xml:space="preserve"> Nauk o Zwierzętach, Katedra Genetyki i </w:t>
            </w:r>
            <w:r w:rsidR="002A5952">
              <w:rPr>
                <w:rFonts w:ascii="Arial" w:hAnsi="Arial" w:cs="Arial"/>
                <w:bCs/>
                <w:sz w:val="16"/>
                <w:szCs w:val="16"/>
              </w:rPr>
              <w:t>Ochrony</w:t>
            </w:r>
            <w:r w:rsidR="007D4B1D">
              <w:rPr>
                <w:rFonts w:ascii="Arial" w:hAnsi="Arial" w:cs="Arial"/>
                <w:bCs/>
                <w:sz w:val="16"/>
                <w:szCs w:val="16"/>
              </w:rPr>
              <w:t xml:space="preserve"> Zwierząt</w:t>
            </w:r>
          </w:p>
        </w:tc>
      </w:tr>
      <w:tr w:rsidR="00ED11F9" w14:paraId="11BFB7F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F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F9" w14:textId="668966ED" w:rsidR="00ED11F9" w:rsidRPr="00582090" w:rsidRDefault="00415FF2" w:rsidP="00415FF2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CB7ED1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ED11F9" w14:paraId="11BFB80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7FB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7FC" w14:textId="77777777" w:rsidR="00ED11F9" w:rsidRDefault="007D4B1D" w:rsidP="007D4B1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przekazanie studentom wiedzy dotyczącej genetycznych i epigenetycznych uwarunkowań zmienności fenotypowej i funkcjonalnej organizmów oraz nowoczesnych metod stosowanych w hodowli roślin i zwierząt. Wiedza ta powinna być przez studentów wykorzystana w dalszym procesie nauczania.</w:t>
            </w:r>
          </w:p>
          <w:p w14:paraId="11BFB7FD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Wykłady:</w:t>
            </w:r>
          </w:p>
          <w:p w14:paraId="11BFB7FE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Podstawowe koncepcje genetyczne, struktura genu i genomu, geny a różnicowanie i rozwój,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transpozony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naturalna i indukowana zmienność genetyczna, dziedziczenie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pozagenowe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podstawy analizy genetycznej, dziedziczenie i odziedziczalność, genetyczne podstawy odporności roślin i zwierząt, wykorzystanie genetyki w hodowli roślin i zwierząt.</w:t>
            </w:r>
          </w:p>
          <w:p w14:paraId="11BFB7FF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Ćwiczenia:</w:t>
            </w:r>
          </w:p>
          <w:p w14:paraId="11BFB800" w14:textId="77777777" w:rsidR="00ED11F9" w:rsidRPr="00582090" w:rsidRDefault="007D4B1D" w:rsidP="007D4B1D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 xml:space="preserve">Podstawy genetyki klasycznej, </w:t>
            </w:r>
            <w:r>
              <w:rPr>
                <w:rFonts w:ascii="Arial" w:hAnsi="Arial" w:cs="Arial"/>
                <w:sz w:val="16"/>
                <w:szCs w:val="16"/>
              </w:rPr>
              <w:t xml:space="preserve">allele wielokrotne, geny letalne, determinacja płci, cechy sprzężone z płcią; współdziałania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niealleliczne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analiza genetyczna drożdży, analiza genetyczna bakterii, klasyczne mapowanie genetyczne, dziedziczenie cytoplazmatyczne, heterozja, cechy ilościowe i odziedziczalność, struktura genetyczna populacji roślin i zwierząt,</w:t>
            </w:r>
            <w:r>
              <w:rPr>
                <w:rStyle w:val="Odwoanieprzypisukocowego"/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spokrewnienie i inbred.</w:t>
            </w:r>
          </w:p>
        </w:tc>
      </w:tr>
      <w:tr w:rsidR="00ED11F9" w:rsidRPr="00E31A6B" w14:paraId="11BFB805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802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803" w14:textId="77777777" w:rsidR="007D4B1D" w:rsidRDefault="007D4B1D" w:rsidP="007D4B1D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</w:t>
            </w:r>
            <w:r w:rsidR="006C0C63">
              <w:rPr>
                <w:rFonts w:ascii="Arial" w:hAnsi="Arial" w:cs="Arial"/>
                <w:sz w:val="16"/>
                <w:szCs w:val="16"/>
              </w:rPr>
              <w:t xml:space="preserve">ady               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C0C63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liczba godzin 45; </w:t>
            </w:r>
          </w:p>
          <w:p w14:paraId="11BFB804" w14:textId="77777777" w:rsidR="00ED11F9" w:rsidRPr="00BD2417" w:rsidRDefault="007D4B1D" w:rsidP="006C0C6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ćwiczenia  laboratoryjne </w:t>
            </w:r>
            <w:r w:rsidR="006C0C63">
              <w:rPr>
                <w:rFonts w:ascii="Arial" w:hAnsi="Arial" w:cs="Arial"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sz w:val="16"/>
                <w:szCs w:val="16"/>
              </w:rPr>
              <w:t xml:space="preserve">liczba godzin 45;  </w:t>
            </w:r>
          </w:p>
        </w:tc>
      </w:tr>
      <w:tr w:rsidR="00ED11F9" w:rsidRPr="00E31A6B" w14:paraId="11BFB808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806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807" w14:textId="77777777" w:rsidR="00ED11F9" w:rsidRPr="00582090" w:rsidRDefault="007D4B1D" w:rsidP="00415F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dyskusja, rozwiązanie problemu, konsultacje, doświadczenie/eksperyment</w:t>
            </w:r>
            <w:r w:rsidR="00415FF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15FF2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415FF2">
              <w:t xml:space="preserve"> </w:t>
            </w:r>
            <w:r w:rsidR="00415FF2" w:rsidRPr="00415FF2">
              <w:rPr>
                <w:rFonts w:ascii="Arial" w:hAnsi="Arial" w:cs="Arial"/>
                <w:bCs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11BFB80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11BFB809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11BFB80A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FB80B" w14:textId="77777777" w:rsidR="00ED11F9" w:rsidRDefault="007D4B1D" w:rsidP="00CD041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Biologia molekularna, Biochemia</w:t>
            </w:r>
          </w:p>
          <w:p w14:paraId="11BFB80C" w14:textId="77777777" w:rsidR="00ED11F9" w:rsidRPr="00582090" w:rsidRDefault="007D4B1D" w:rsidP="007D4B1D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Budowa i funkcja DNA i RNA</w:t>
            </w:r>
          </w:p>
        </w:tc>
      </w:tr>
      <w:tr w:rsidR="00ED11F9" w14:paraId="11BFB81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11BFB80E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11BFB80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11BFB810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>Student posiada spójną wiedzę na temat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 mechanizmów dziedziczenia cech, zmienności genetycznej oraz pochodzenia i biologii rozmnażania modelowych gatunków mikroorganizmów, roślin i zwierząt</w:t>
            </w:r>
          </w:p>
          <w:p w14:paraId="11BFB811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>W2 Student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 potrafi wykorzystać interdyscyplinarną wiedzę do zaprojektowania i zaprezentowania własnej koncepcji doskonalenia organizmów roślinnych i zwierzęcych</w:t>
            </w:r>
          </w:p>
          <w:p w14:paraId="11BFB812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W3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orientuje się w możliwościach przeprowadzania zmian w genomach i przewidywaniu skutków tych zmian</w:t>
            </w:r>
          </w:p>
          <w:p w14:paraId="11BFB813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W4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ma zdolność przeanalizowania podstawowych zagadnień z genetyki i biologii molekularnej oraz jest w stanie podać i wyjaśnić różne szczegółowe przykłady</w:t>
            </w:r>
          </w:p>
          <w:p w14:paraId="11BFB814" w14:textId="77777777" w:rsidR="00ED11F9" w:rsidRPr="00582090" w:rsidRDefault="00894A0A" w:rsidP="00894A0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W5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posiada niezbędną wiedzę i zrozumienie zasad dotyczących ekspresji genów, </w:t>
            </w:r>
          </w:p>
        </w:tc>
        <w:tc>
          <w:tcPr>
            <w:tcW w:w="2680" w:type="dxa"/>
            <w:gridSpan w:val="3"/>
            <w:vAlign w:val="center"/>
          </w:tcPr>
          <w:p w14:paraId="11BFB815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11BFB816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U1 </w:t>
            </w:r>
            <w:r w:rsidRPr="00894A0A">
              <w:rPr>
                <w:rFonts w:ascii="Arial" w:hAnsi="Arial" w:cs="Arial"/>
                <w:sz w:val="16"/>
                <w:szCs w:val="16"/>
              </w:rPr>
              <w:t>ma zdolność przeanalizowania podstawowych zagadnień z genetyki i biologii molekularnej oraz jest w stanie podać i wyjaśnić różne szczegółowe przykłady</w:t>
            </w:r>
          </w:p>
          <w:p w14:paraId="11BFB817" w14:textId="77777777" w:rsidR="00ED11F9" w:rsidRPr="00582090" w:rsidRDefault="00894A0A" w:rsidP="00894A0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sz w:val="16"/>
                <w:szCs w:val="16"/>
              </w:rPr>
              <w:t>U2 potrafi podać i objaśnić konkretne przykłady, oraz jest w stanie podać i zastosować odpowiednie metody eksperymentalne</w:t>
            </w:r>
          </w:p>
        </w:tc>
        <w:tc>
          <w:tcPr>
            <w:tcW w:w="2520" w:type="dxa"/>
            <w:gridSpan w:val="4"/>
            <w:vAlign w:val="center"/>
          </w:tcPr>
          <w:p w14:paraId="11BFB818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11BFB819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K1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ma świadomość społecznego znaczenia rozumienia zasad dziedziczenia cech oraz genetycznego doskonalenia organizmów dla produkcji żywności o wysokiej jakości i wartości technologicznej z uwzględnieniem ochrony praw autorskich</w:t>
            </w:r>
          </w:p>
          <w:p w14:paraId="11BFB81A" w14:textId="77777777" w:rsidR="00ED11F9" w:rsidRPr="00582090" w:rsidRDefault="00894A0A" w:rsidP="00894A0A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K2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rozumie potrzebę poszerzania, pogłębiania i aktualizacji wiedzy, zna jej praktyczne wykorzystanie</w:t>
            </w:r>
          </w:p>
        </w:tc>
      </w:tr>
      <w:tr w:rsidR="00ED11F9" w14:paraId="11BFB820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BFB81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1BFB81D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Sprawdziany na zajęciach ćwiczeniowych  efekt  </w:t>
            </w:r>
            <w:r w:rsidR="00894A0A">
              <w:rPr>
                <w:rFonts w:ascii="Arial" w:hAnsi="Arial" w:cs="Arial"/>
                <w:sz w:val="16"/>
                <w:szCs w:val="16"/>
              </w:rPr>
              <w:t xml:space="preserve">W1-5 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11BFB81E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Aktywność w trakcie dyskusji zde</w:t>
            </w:r>
            <w:r w:rsidR="00894A0A">
              <w:rPr>
                <w:rFonts w:ascii="Arial" w:hAnsi="Arial" w:cs="Arial"/>
                <w:sz w:val="16"/>
                <w:szCs w:val="16"/>
              </w:rPr>
              <w:t>finiowanego problemu - efekty: W</w:t>
            </w:r>
            <w:r>
              <w:rPr>
                <w:rFonts w:ascii="Arial" w:hAnsi="Arial" w:cs="Arial"/>
                <w:sz w:val="16"/>
                <w:szCs w:val="16"/>
              </w:rPr>
              <w:t>2,</w:t>
            </w:r>
            <w:r w:rsidR="00894A0A">
              <w:rPr>
                <w:rFonts w:ascii="Arial" w:hAnsi="Arial" w:cs="Arial"/>
                <w:sz w:val="16"/>
                <w:szCs w:val="16"/>
              </w:rPr>
              <w:t>K1-2</w:t>
            </w:r>
          </w:p>
          <w:p w14:paraId="11BFB81F" w14:textId="77777777" w:rsidR="00ED11F9" w:rsidRPr="009E71F1" w:rsidRDefault="007D4B1D" w:rsidP="00894A0A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Egzamin pisemny efekt: </w:t>
            </w:r>
            <w:r w:rsidR="00894A0A">
              <w:rPr>
                <w:rFonts w:ascii="Arial" w:hAnsi="Arial" w:cs="Arial"/>
                <w:sz w:val="16"/>
                <w:szCs w:val="16"/>
              </w:rPr>
              <w:t>W1-5, U1-2</w:t>
            </w:r>
          </w:p>
        </w:tc>
      </w:tr>
      <w:tr w:rsidR="00ED11F9" w14:paraId="11BFB82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BFB8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1BFB822" w14:textId="77777777" w:rsidR="00ED11F9" w:rsidRPr="009E71F1" w:rsidRDefault="007D4B1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Imienna karta oceny studenta, okresowe prace pisemnie, treść pytań egzaminacyjnych z oceną</w:t>
            </w:r>
            <w:r w:rsidR="00415FF2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415FF2">
              <w:t xml:space="preserve"> </w:t>
            </w:r>
            <w:r w:rsidR="00415FF2" w:rsidRPr="00415FF2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11BFB82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11BFB824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14:paraId="11BFB825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11BFB826" w14:textId="77777777" w:rsidR="00ED11F9" w:rsidRPr="009E71F1" w:rsidRDefault="007D4B1D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 ocenę efektów kształcenia składa się: 1 - ocena ze sprawdzianów z przerobionego materiału, 2 - ocena z egzaminu pisemnego, 3 - ocena aktywności studenta podczas ćwiczeń. Za każdy z elementów można maksymalnie uzyskać 100 punków. Waga każdego z elementów: 1 - 45%, 2 - 45%, 3 - 10%. Warunkiem zaliczenia przedmiotu jest uzyskanie z elementu 1 i 2 min. 51% (51) punktów. Ocena końcowa jest wyliczana jako suma punktów uzyskanych dla każdego elementu (z uwzględnieniem ich wagi). Warunkiem zaliczenia przedmiotu jest uzyskanie minimum 51% punktów uwzględniających wszystkie elementy.</w:t>
            </w:r>
          </w:p>
        </w:tc>
      </w:tr>
      <w:tr w:rsidR="00ED11F9" w14:paraId="11BFB82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11BFB82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11BFB829" w14:textId="77777777" w:rsidR="00ED11F9" w:rsidRPr="009E71F1" w:rsidRDefault="007D4B1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Sala dydaktyczna, laboratorium</w:t>
            </w:r>
          </w:p>
        </w:tc>
      </w:tr>
      <w:tr w:rsidR="00ED11F9" w14:paraId="11BFB832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BFB82B" w14:textId="77777777" w:rsidR="00ED11F9" w:rsidRPr="00582090" w:rsidRDefault="00ED11F9" w:rsidP="007D4B1D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11BFB82C" w14:textId="77777777" w:rsidR="007D4B1D" w:rsidRDefault="007D4B1D" w:rsidP="007D4B1D">
            <w:pPr>
              <w:tabs>
                <w:tab w:val="left" w:pos="-31336"/>
                <w:tab w:val="left" w:pos="-30436"/>
                <w:tab w:val="left" w:pos="-1843"/>
                <w:tab w:val="left" w:pos="36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8222"/>
                <w:tab w:val="left" w:pos="9900"/>
                <w:tab w:val="left" w:pos="10800"/>
                <w:tab w:val="left" w:pos="11700"/>
                <w:tab w:val="left" w:pos="12600"/>
                <w:tab w:val="left" w:pos="13500"/>
                <w:tab w:val="left" w:pos="14400"/>
                <w:tab w:val="left" w:pos="15300"/>
                <w:tab w:val="left" w:pos="16200"/>
                <w:tab w:val="left" w:pos="17100"/>
                <w:tab w:val="left" w:pos="18000"/>
                <w:tab w:val="left" w:pos="18900"/>
                <w:tab w:val="left" w:pos="19800"/>
                <w:tab w:val="left" w:pos="20700"/>
                <w:tab w:val="left" w:pos="21600"/>
                <w:tab w:val="left" w:pos="22500"/>
                <w:tab w:val="left" w:pos="23400"/>
                <w:tab w:val="left" w:pos="24300"/>
                <w:tab w:val="left" w:pos="25200"/>
                <w:tab w:val="left" w:pos="26100"/>
                <w:tab w:val="left" w:pos="27000"/>
                <w:tab w:val="left" w:pos="27900"/>
                <w:tab w:val="left" w:pos="28800"/>
                <w:tab w:val="left" w:pos="29700"/>
                <w:tab w:val="left" w:pos="30600"/>
                <w:tab w:val="left" w:pos="3150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Genetyka krótkie wykłady – P.C. Winter, G.I.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Hickley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, H.L. Fletcher, tłum.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zb.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pod red. W. Prus-Głowackiego, Wydawnictwo Naukowe PWN 2006</w:t>
            </w:r>
          </w:p>
          <w:p w14:paraId="11BFB82D" w14:textId="77777777" w:rsidR="007D4B1D" w:rsidRDefault="007D4B1D" w:rsidP="007D4B1D">
            <w:pPr>
              <w:tabs>
                <w:tab w:val="left" w:pos="-31336"/>
                <w:tab w:val="left" w:pos="-30436"/>
                <w:tab w:val="left" w:pos="-1843"/>
                <w:tab w:val="left" w:pos="36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8222"/>
                <w:tab w:val="left" w:pos="9900"/>
                <w:tab w:val="left" w:pos="10800"/>
                <w:tab w:val="left" w:pos="11700"/>
                <w:tab w:val="left" w:pos="12600"/>
                <w:tab w:val="left" w:pos="13500"/>
                <w:tab w:val="left" w:pos="14400"/>
                <w:tab w:val="left" w:pos="15300"/>
                <w:tab w:val="left" w:pos="16200"/>
                <w:tab w:val="left" w:pos="17100"/>
                <w:tab w:val="left" w:pos="18000"/>
                <w:tab w:val="left" w:pos="18900"/>
                <w:tab w:val="left" w:pos="19800"/>
                <w:tab w:val="left" w:pos="20700"/>
                <w:tab w:val="left" w:pos="21600"/>
                <w:tab w:val="left" w:pos="22500"/>
                <w:tab w:val="left" w:pos="23400"/>
                <w:tab w:val="left" w:pos="24300"/>
                <w:tab w:val="left" w:pos="25200"/>
                <w:tab w:val="left" w:pos="26100"/>
                <w:tab w:val="left" w:pos="27000"/>
                <w:tab w:val="left" w:pos="27900"/>
                <w:tab w:val="left" w:pos="28800"/>
                <w:tab w:val="left" w:pos="29700"/>
                <w:tab w:val="left" w:pos="30600"/>
                <w:tab w:val="left" w:pos="3150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Genetyka zwierząt – K.M. Charon, M. Świtoński, Wydawnictwo Naukowe PWN, wydanie II, 2009</w:t>
            </w:r>
          </w:p>
          <w:p w14:paraId="11BFB82E" w14:textId="77777777" w:rsidR="007D4B1D" w:rsidRDefault="007D4B1D" w:rsidP="007D4B1D">
            <w:pPr>
              <w:tabs>
                <w:tab w:val="left" w:pos="-31336"/>
                <w:tab w:val="left" w:pos="-30436"/>
                <w:tab w:val="left" w:pos="-1843"/>
                <w:tab w:val="left" w:pos="36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8222"/>
                <w:tab w:val="left" w:pos="9900"/>
                <w:tab w:val="left" w:pos="10800"/>
                <w:tab w:val="left" w:pos="11700"/>
                <w:tab w:val="left" w:pos="12600"/>
                <w:tab w:val="left" w:pos="13500"/>
                <w:tab w:val="left" w:pos="14400"/>
                <w:tab w:val="left" w:pos="15300"/>
                <w:tab w:val="left" w:pos="16200"/>
                <w:tab w:val="left" w:pos="17100"/>
                <w:tab w:val="left" w:pos="18000"/>
                <w:tab w:val="left" w:pos="18900"/>
                <w:tab w:val="left" w:pos="19800"/>
                <w:tab w:val="left" w:pos="20700"/>
                <w:tab w:val="left" w:pos="21600"/>
                <w:tab w:val="left" w:pos="22500"/>
                <w:tab w:val="left" w:pos="23400"/>
                <w:tab w:val="left" w:pos="24300"/>
                <w:tab w:val="left" w:pos="25200"/>
                <w:tab w:val="left" w:pos="26100"/>
                <w:tab w:val="left" w:pos="27000"/>
                <w:tab w:val="left" w:pos="27900"/>
                <w:tab w:val="left" w:pos="28800"/>
                <w:tab w:val="left" w:pos="29700"/>
                <w:tab w:val="left" w:pos="30600"/>
                <w:tab w:val="left" w:pos="3150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Genetyka – ilustrowany przewodnik – E.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Passarge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redaktor  wydania  polskiego T. Mazurczak, Wydawnictwo Lekarskie PZWL, 2004</w:t>
            </w:r>
          </w:p>
          <w:p w14:paraId="11BFB82F" w14:textId="77777777" w:rsidR="007D4B1D" w:rsidRDefault="007D4B1D" w:rsidP="007D4B1D">
            <w:pPr>
              <w:tabs>
                <w:tab w:val="left" w:pos="-31336"/>
                <w:tab w:val="left" w:pos="-30436"/>
                <w:tab w:val="left" w:pos="-1843"/>
                <w:tab w:val="left" w:pos="360"/>
                <w:tab w:val="left" w:pos="900"/>
                <w:tab w:val="left" w:pos="1800"/>
                <w:tab w:val="left" w:pos="2700"/>
                <w:tab w:val="left" w:pos="3600"/>
                <w:tab w:val="left" w:pos="4500"/>
                <w:tab w:val="left" w:pos="5400"/>
                <w:tab w:val="left" w:pos="6300"/>
                <w:tab w:val="left" w:pos="7200"/>
                <w:tab w:val="left" w:pos="8100"/>
                <w:tab w:val="left" w:pos="8222"/>
                <w:tab w:val="left" w:pos="9900"/>
                <w:tab w:val="left" w:pos="10800"/>
                <w:tab w:val="left" w:pos="11700"/>
                <w:tab w:val="left" w:pos="12600"/>
                <w:tab w:val="left" w:pos="13500"/>
                <w:tab w:val="left" w:pos="14400"/>
                <w:tab w:val="left" w:pos="15300"/>
                <w:tab w:val="left" w:pos="16200"/>
                <w:tab w:val="left" w:pos="17100"/>
                <w:tab w:val="left" w:pos="18000"/>
                <w:tab w:val="left" w:pos="18900"/>
                <w:tab w:val="left" w:pos="19800"/>
                <w:tab w:val="left" w:pos="20700"/>
                <w:tab w:val="left" w:pos="21600"/>
                <w:tab w:val="left" w:pos="22500"/>
                <w:tab w:val="left" w:pos="23400"/>
                <w:tab w:val="left" w:pos="24300"/>
                <w:tab w:val="left" w:pos="25200"/>
                <w:tab w:val="left" w:pos="26100"/>
                <w:tab w:val="left" w:pos="27000"/>
                <w:tab w:val="left" w:pos="27900"/>
                <w:tab w:val="left" w:pos="28800"/>
                <w:tab w:val="left" w:pos="29700"/>
                <w:tab w:val="left" w:pos="30600"/>
                <w:tab w:val="left" w:pos="3150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709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Samolubny gen – R.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Dawkins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, Prószyński Media, 2010</w:t>
            </w:r>
          </w:p>
          <w:p w14:paraId="11BFB830" w14:textId="77777777" w:rsidR="007D4B1D" w:rsidRDefault="007D4B1D" w:rsidP="007D4B1D">
            <w:pPr>
              <w:spacing w:line="240" w:lineRule="auto"/>
              <w:ind w:right="-447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</w:rPr>
              <w:t xml:space="preserve">Piątkowska B. i in.. Zbiór zadań i pytań z genetyki. </w:t>
            </w:r>
            <w:proofErr w:type="spellStart"/>
            <w:r>
              <w:rPr>
                <w:rFonts w:ascii="Arial" w:hAnsi="Arial" w:cs="Arial"/>
                <w:sz w:val="16"/>
              </w:rPr>
              <w:t>Wyd</w:t>
            </w:r>
            <w:proofErr w:type="spellEnd"/>
            <w:r>
              <w:rPr>
                <w:rFonts w:ascii="Arial" w:hAnsi="Arial" w:cs="Arial"/>
                <w:sz w:val="16"/>
              </w:rPr>
              <w:t>, UMK w Toruniu, 1998</w:t>
            </w:r>
          </w:p>
          <w:p w14:paraId="11BFB831" w14:textId="77777777" w:rsidR="00ED11F9" w:rsidRPr="00582090" w:rsidRDefault="007D4B1D" w:rsidP="007D4B1D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Artykuły – polecane na bieżąco przez wykładowcę</w:t>
            </w:r>
          </w:p>
        </w:tc>
      </w:tr>
      <w:tr w:rsidR="00ED11F9" w14:paraId="11BFB837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11BFB833" w14:textId="77777777" w:rsidR="00ED11F9" w:rsidRDefault="00ED11F9" w:rsidP="007D4B1D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11BFB834" w14:textId="77777777" w:rsidR="007D4B1D" w:rsidRDefault="007D4B1D" w:rsidP="007D4B1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Do wyliczenia oceny końcowej stosowana jest następująca skala: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100-91% pkt - 5,0,     90-81% pkt -  4,5,     80-71% pkt -  4,0     </w:t>
            </w:r>
          </w:p>
          <w:p w14:paraId="11BFB835" w14:textId="77777777" w:rsidR="00ED11F9" w:rsidRPr="00701DD3" w:rsidRDefault="007D4B1D" w:rsidP="007D4B1D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70-61% pkt -  3,5,     60-51% pkt -  3,0</w:t>
            </w:r>
          </w:p>
          <w:p w14:paraId="11BFB83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1BFB838" w14:textId="77777777" w:rsidR="00C56B3F" w:rsidRDefault="00C56B3F" w:rsidP="00ED11F9">
      <w:pPr>
        <w:rPr>
          <w:sz w:val="16"/>
        </w:rPr>
      </w:pPr>
    </w:p>
    <w:p w14:paraId="11BFB839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11BFB83C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1BFB83A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11BFB83B" w14:textId="77777777" w:rsidR="00ED11F9" w:rsidRPr="00A87261" w:rsidRDefault="00C56B3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11BFB83F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11BFB83D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11BFB83E" w14:textId="77777777" w:rsidR="00ED11F9" w:rsidRPr="00A87261" w:rsidRDefault="00C56B3F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11BFB840" w14:textId="77777777" w:rsidR="00ED11F9" w:rsidRDefault="00ED11F9" w:rsidP="00ED11F9"/>
    <w:p w14:paraId="11BFB841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11BFB842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11BFB847" w14:textId="77777777" w:rsidTr="0093211F">
        <w:tc>
          <w:tcPr>
            <w:tcW w:w="1547" w:type="dxa"/>
          </w:tcPr>
          <w:p w14:paraId="11BFB843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11BFB84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11BFB845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11BFB846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11BFB857" w14:textId="77777777" w:rsidTr="0093211F">
        <w:tc>
          <w:tcPr>
            <w:tcW w:w="1547" w:type="dxa"/>
          </w:tcPr>
          <w:p w14:paraId="11BFB84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11BFB849" w14:textId="77777777" w:rsidR="0093211F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>Student posiada spójną wiedzę na temat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 mechanizmów dziedziczenia cech, zmienności genetycznej oraz pochodzenia i biologii rozmnażania modelowych gatunków mikroorganizmów, roślin i zwierząt</w:t>
            </w:r>
          </w:p>
          <w:p w14:paraId="11BFB84A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>W2 Student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 potrafi wykorzystać interdyscyplinarną wiedzę do zaprojektowania i zaprezentowania własnej koncepcji doskonalenia organizmów roślinnych i zwierzęcych</w:t>
            </w:r>
          </w:p>
          <w:p w14:paraId="11BFB84B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W3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orientuje się w możliwościach przeprowadzania zmian w genomach i przewidywaniu skutków tych zmian</w:t>
            </w:r>
          </w:p>
          <w:p w14:paraId="11BFB84C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W4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ma zdolność przeanalizowania podstawowych zagadnień z genetyki i biologii molekularnej oraz jest w stanie podać i wyjaśnić różne szczegółowe przykłady</w:t>
            </w:r>
          </w:p>
          <w:p w14:paraId="11BFB84D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W5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 xml:space="preserve">posiada niezbędną wiedzę i zrozumienie zasad dotyczących ekspresji genów, </w:t>
            </w:r>
          </w:p>
        </w:tc>
        <w:tc>
          <w:tcPr>
            <w:tcW w:w="3001" w:type="dxa"/>
          </w:tcPr>
          <w:p w14:paraId="11BFB84E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K_W0</w:t>
            </w:r>
            <w:r>
              <w:rPr>
                <w:rFonts w:ascii="Arial" w:hAnsi="Arial" w:cs="Arial"/>
                <w:bCs/>
                <w:sz w:val="16"/>
                <w:szCs w:val="16"/>
              </w:rPr>
              <w:t>6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4F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K_W10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50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K_W07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51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K_W03</w:t>
            </w:r>
          </w:p>
          <w:p w14:paraId="11BFB852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1" w:type="dxa"/>
          </w:tcPr>
          <w:p w14:paraId="11BFB853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BFB854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BFB855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BFB856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11BFB863" w14:textId="77777777" w:rsidTr="0093211F">
        <w:tc>
          <w:tcPr>
            <w:tcW w:w="1547" w:type="dxa"/>
          </w:tcPr>
          <w:p w14:paraId="11BFB85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1BFB859" w14:textId="77777777" w:rsidR="00894A0A" w:rsidRPr="00894A0A" w:rsidRDefault="00894A0A" w:rsidP="00894A0A">
            <w:pPr>
              <w:tabs>
                <w:tab w:val="left" w:pos="1575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U1 </w:t>
            </w:r>
            <w:r w:rsidRPr="00894A0A">
              <w:rPr>
                <w:rFonts w:ascii="Arial" w:hAnsi="Arial" w:cs="Arial"/>
                <w:sz w:val="16"/>
                <w:szCs w:val="16"/>
              </w:rPr>
              <w:t>ma zdolność przeanalizowania podstawowych zagadnień z genetyki i biologii molekularnej oraz jest w stanie podać i wyjaśnić różne szczegółowe przykłady</w:t>
            </w:r>
          </w:p>
          <w:p w14:paraId="11BFB85A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Fonts w:ascii="Arial" w:hAnsi="Arial" w:cs="Arial"/>
                <w:sz w:val="16"/>
                <w:szCs w:val="16"/>
              </w:rPr>
              <w:t>U2 potrafi podać i objaśnić konkretne przykłady, oraz jest w stanie podać i zastosować odpowiednie metody eksperymentalne</w:t>
            </w:r>
          </w:p>
        </w:tc>
        <w:tc>
          <w:tcPr>
            <w:tcW w:w="3001" w:type="dxa"/>
          </w:tcPr>
          <w:p w14:paraId="11BFB85B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5C" w14:textId="77777777" w:rsid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K_U17</w:t>
            </w:r>
          </w:p>
          <w:p w14:paraId="11BFB85D" w14:textId="77777777" w:rsidR="00D74D3F" w:rsidRPr="00894A0A" w:rsidRDefault="00D74D3F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K_U18</w:t>
            </w:r>
          </w:p>
          <w:p w14:paraId="11BFB85E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K_U2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  <w:tc>
          <w:tcPr>
            <w:tcW w:w="1381" w:type="dxa"/>
          </w:tcPr>
          <w:p w14:paraId="11BFB85F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BFB860" w14:textId="77777777" w:rsid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1BFB861" w14:textId="77777777" w:rsidR="00D74D3F" w:rsidRPr="00894A0A" w:rsidRDefault="00D74D3F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BFB862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93211F" w:rsidRPr="00FB1C10" w14:paraId="11BFB86D" w14:textId="77777777" w:rsidTr="0093211F">
        <w:tc>
          <w:tcPr>
            <w:tcW w:w="1547" w:type="dxa"/>
          </w:tcPr>
          <w:p w14:paraId="11BFB864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11BFB865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K1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ma świadomość społecznego znaczenia rozumienia zasad dziedziczenia cech oraz genetycznego doskonalenia organizmów dla produkcji żywności o wysokiej jakości i wartości technologicznej z uwzględnieniem ochrony praw autorskich</w:t>
            </w:r>
          </w:p>
          <w:p w14:paraId="11BFB866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Style w:val="hps"/>
                <w:rFonts w:ascii="Arial" w:hAnsi="Arial" w:cs="Arial"/>
                <w:sz w:val="16"/>
                <w:szCs w:val="16"/>
              </w:rPr>
              <w:t xml:space="preserve">K2 Student </w:t>
            </w:r>
            <w:r w:rsidRPr="00894A0A">
              <w:rPr>
                <w:rFonts w:ascii="Arial" w:hAnsi="Arial" w:cs="Arial"/>
                <w:sz w:val="16"/>
                <w:szCs w:val="16"/>
              </w:rPr>
              <w:t>rozumie potrzebę poszerzania, pogłębiania i aktualizacji wiedzy, zna jej praktyczne wykorzystanie</w:t>
            </w:r>
          </w:p>
        </w:tc>
        <w:tc>
          <w:tcPr>
            <w:tcW w:w="3001" w:type="dxa"/>
          </w:tcPr>
          <w:p w14:paraId="11BFB867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68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894A0A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  <w:p w14:paraId="11BFB869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K_K07</w:t>
            </w:r>
          </w:p>
        </w:tc>
        <w:tc>
          <w:tcPr>
            <w:tcW w:w="1381" w:type="dxa"/>
          </w:tcPr>
          <w:p w14:paraId="11BFB86A" w14:textId="77777777" w:rsidR="0093211F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BFB86B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1BFB86C" w14:textId="77777777" w:rsidR="00894A0A" w:rsidRPr="00894A0A" w:rsidRDefault="00894A0A" w:rsidP="00894A0A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94A0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11BFB86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1BFB86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11BFB87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11BFB87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11BFB87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11BFB873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FB876" w14:textId="77777777" w:rsidR="00AC65C8" w:rsidRDefault="00AC65C8" w:rsidP="002C0CA5">
      <w:pPr>
        <w:spacing w:line="240" w:lineRule="auto"/>
      </w:pPr>
      <w:r>
        <w:separator/>
      </w:r>
    </w:p>
  </w:endnote>
  <w:endnote w:type="continuationSeparator" w:id="0">
    <w:p w14:paraId="11BFB877" w14:textId="77777777" w:rsidR="00AC65C8" w:rsidRDefault="00AC65C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FB874" w14:textId="77777777" w:rsidR="00AC65C8" w:rsidRDefault="00AC65C8" w:rsidP="002C0CA5">
      <w:pPr>
        <w:spacing w:line="240" w:lineRule="auto"/>
      </w:pPr>
      <w:r>
        <w:separator/>
      </w:r>
    </w:p>
  </w:footnote>
  <w:footnote w:type="continuationSeparator" w:id="0">
    <w:p w14:paraId="11BFB875" w14:textId="77777777" w:rsidR="00AC65C8" w:rsidRDefault="00AC65C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s7A0MjMwMDAytDBS0lEKTi0uzszPAykwrgUA62TCSSwAAAA="/>
  </w:docVars>
  <w:rsids>
    <w:rsidRoot w:val="00ED11F9"/>
    <w:rsid w:val="000112E4"/>
    <w:rsid w:val="0003775A"/>
    <w:rsid w:val="000834BC"/>
    <w:rsid w:val="000C4232"/>
    <w:rsid w:val="000E791B"/>
    <w:rsid w:val="00115001"/>
    <w:rsid w:val="001C3671"/>
    <w:rsid w:val="00207BBF"/>
    <w:rsid w:val="0025202E"/>
    <w:rsid w:val="002A5952"/>
    <w:rsid w:val="002C0CA5"/>
    <w:rsid w:val="00300A91"/>
    <w:rsid w:val="00341D25"/>
    <w:rsid w:val="0036131B"/>
    <w:rsid w:val="00392CAB"/>
    <w:rsid w:val="003B680D"/>
    <w:rsid w:val="00415FF2"/>
    <w:rsid w:val="004F5168"/>
    <w:rsid w:val="00530681"/>
    <w:rsid w:val="00577AD3"/>
    <w:rsid w:val="005D122E"/>
    <w:rsid w:val="006537EC"/>
    <w:rsid w:val="006674DC"/>
    <w:rsid w:val="00675EA5"/>
    <w:rsid w:val="006C0C63"/>
    <w:rsid w:val="006C766B"/>
    <w:rsid w:val="0072568B"/>
    <w:rsid w:val="00735F91"/>
    <w:rsid w:val="007B15AA"/>
    <w:rsid w:val="007D4B1D"/>
    <w:rsid w:val="007D736E"/>
    <w:rsid w:val="0085615A"/>
    <w:rsid w:val="00860FAB"/>
    <w:rsid w:val="00864705"/>
    <w:rsid w:val="00894A0A"/>
    <w:rsid w:val="008A35AD"/>
    <w:rsid w:val="008C5679"/>
    <w:rsid w:val="008D1922"/>
    <w:rsid w:val="008F7E6F"/>
    <w:rsid w:val="00925376"/>
    <w:rsid w:val="0093211F"/>
    <w:rsid w:val="00965A2D"/>
    <w:rsid w:val="00966E0B"/>
    <w:rsid w:val="009B21A4"/>
    <w:rsid w:val="009E71F1"/>
    <w:rsid w:val="00A43564"/>
    <w:rsid w:val="00A519E9"/>
    <w:rsid w:val="00AC65C8"/>
    <w:rsid w:val="00B2721F"/>
    <w:rsid w:val="00B51E99"/>
    <w:rsid w:val="00C56B3F"/>
    <w:rsid w:val="00CB7ED1"/>
    <w:rsid w:val="00CD0414"/>
    <w:rsid w:val="00D527B8"/>
    <w:rsid w:val="00D74D3F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BFB7C6"/>
  <w15:docId w15:val="{AEF3A0E1-78D6-42D9-830B-BBA138EB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przypisukocowego">
    <w:name w:val="endnote reference"/>
    <w:semiHidden/>
    <w:rsid w:val="007D4B1D"/>
    <w:rPr>
      <w:vertAlign w:val="superscript"/>
    </w:rPr>
  </w:style>
  <w:style w:type="character" w:customStyle="1" w:styleId="hps">
    <w:name w:val="hps"/>
    <w:basedOn w:val="Domylnaczcionkaakapitu"/>
    <w:rsid w:val="00894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1107</Words>
  <Characters>6648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10</cp:revision>
  <cp:lastPrinted>2019-03-18T08:34:00Z</cp:lastPrinted>
  <dcterms:created xsi:type="dcterms:W3CDTF">2019-04-27T11:33:00Z</dcterms:created>
  <dcterms:modified xsi:type="dcterms:W3CDTF">2021-09-08T07:56:00Z</dcterms:modified>
</cp:coreProperties>
</file>